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6D" w:rsidRDefault="008F276D" w:rsidP="002A2005">
      <w:pPr>
        <w:pStyle w:val="Heading1"/>
      </w:pPr>
      <w:r w:rsidRPr="00951B39">
        <w:rPr>
          <w:noProof/>
        </w:rPr>
        <w:drawing>
          <wp:anchor distT="0" distB="0" distL="114300" distR="114300" simplePos="0" relativeHeight="251659264" behindDoc="0" locked="0" layoutInCell="1" allowOverlap="0" wp14:anchorId="3F3BE88B" wp14:editId="7854E4CC">
            <wp:simplePos x="0" y="0"/>
            <wp:positionH relativeFrom="margin">
              <wp:posOffset>2257425</wp:posOffset>
            </wp:positionH>
            <wp:positionV relativeFrom="line">
              <wp:posOffset>0</wp:posOffset>
            </wp:positionV>
            <wp:extent cx="133350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6D" w:rsidRDefault="008F276D" w:rsidP="002A2005">
      <w:pPr>
        <w:pStyle w:val="Heading1"/>
      </w:pPr>
    </w:p>
    <w:p w:rsidR="008F276D" w:rsidRDefault="008F276D" w:rsidP="002A2005">
      <w:pPr>
        <w:pStyle w:val="Heading1"/>
      </w:pPr>
    </w:p>
    <w:p w:rsidR="008F276D" w:rsidRPr="00EF1482" w:rsidRDefault="008F276D" w:rsidP="008F276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EF1482">
        <w:rPr>
          <w:rFonts w:eastAsia="Times New Roman" w:cs="Arial"/>
          <w:b/>
          <w:sz w:val="28"/>
          <w:szCs w:val="28"/>
        </w:rPr>
        <w:t>ENERGY FIJI LIMITED</w:t>
      </w:r>
    </w:p>
    <w:p w:rsidR="008F276D" w:rsidRPr="00EF1482" w:rsidRDefault="008F276D" w:rsidP="008F276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F276D" w:rsidRPr="00EF1482" w:rsidRDefault="00B97BF5" w:rsidP="008F276D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MR397</w:t>
      </w:r>
      <w:r w:rsidR="008F276D" w:rsidRPr="00EF1482">
        <w:rPr>
          <w:rFonts w:cs="Arial"/>
          <w:b/>
          <w:bCs/>
          <w:sz w:val="28"/>
          <w:szCs w:val="28"/>
        </w:rPr>
        <w:t>/2019</w:t>
      </w:r>
    </w:p>
    <w:p w:rsidR="00B97BF5" w:rsidRDefault="00B97BF5" w:rsidP="008F276D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B97BF5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Revised Scope of Works for the Proposed (MSE) Mechanically Stabilized Earth Embankment for Energy Fiji Limited (EFL) At </w:t>
      </w:r>
      <w:proofErr w:type="spellStart"/>
      <w:r w:rsidRPr="00B97BF5">
        <w:rPr>
          <w:rFonts w:ascii="Calibri" w:eastAsia="Times New Roman" w:hAnsi="Calibri" w:cs="Calibri"/>
          <w:b/>
          <w:sz w:val="28"/>
          <w:szCs w:val="28"/>
          <w:u w:val="single"/>
        </w:rPr>
        <w:t>Nadarivatu</w:t>
      </w:r>
      <w:proofErr w:type="spellEnd"/>
      <w:r w:rsidRPr="00B97BF5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Switchyard.</w:t>
      </w:r>
    </w:p>
    <w:p w:rsidR="008F276D" w:rsidRPr="008F276D" w:rsidRDefault="00EA06D1" w:rsidP="008F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</w:t>
      </w:r>
      <w:r w:rsidR="00B97BF5">
        <w:rPr>
          <w:b/>
          <w:sz w:val="28"/>
          <w:szCs w:val="28"/>
        </w:rPr>
        <w:t xml:space="preserve"> # 2</w:t>
      </w:r>
    </w:p>
    <w:p w:rsidR="00B97BF5" w:rsidRDefault="00B97BF5" w:rsidP="00B97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project requires the supply of 80 Soil Anchors and installation of up to 75 Soil Anchors to an existing earth embankment adjacent to the existing </w:t>
      </w:r>
      <w:proofErr w:type="spellStart"/>
      <w:r>
        <w:rPr>
          <w:rFonts w:ascii="Arial" w:hAnsi="Arial" w:cs="Arial"/>
        </w:rPr>
        <w:t>Nadarivatu</w:t>
      </w:r>
      <w:proofErr w:type="spellEnd"/>
      <w:r>
        <w:rPr>
          <w:rFonts w:ascii="Arial" w:hAnsi="Arial" w:cs="Arial"/>
        </w:rPr>
        <w:t xml:space="preserve"> Switchyard for Energy Fiji Limited. The following Scope of Works describes the works required to complete the required works.  </w:t>
      </w:r>
    </w:p>
    <w:tbl>
      <w:tblPr>
        <w:tblW w:w="11646" w:type="dxa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1455"/>
        <w:gridCol w:w="1850"/>
        <w:gridCol w:w="1536"/>
      </w:tblGrid>
      <w:tr w:rsidR="00B97BF5" w:rsidRPr="00FB6C05" w:rsidTr="0014578E">
        <w:trPr>
          <w:gridAfter w:val="1"/>
          <w:wAfter w:w="1536" w:type="dxa"/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14956058"/>
            <w:r w:rsidRPr="00FB6C05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05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05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05">
              <w:rPr>
                <w:rFonts w:ascii="Arial" w:hAnsi="Arial" w:cs="Arial"/>
                <w:b/>
                <w:bCs/>
                <w:color w:val="000000"/>
              </w:rPr>
              <w:t>Rate ($VIP)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05">
              <w:rPr>
                <w:rFonts w:ascii="Arial" w:hAnsi="Arial" w:cs="Arial"/>
                <w:b/>
                <w:bCs/>
                <w:color w:val="000000"/>
              </w:rPr>
              <w:t>Cost ($VIP)</w:t>
            </w:r>
          </w:p>
        </w:tc>
      </w:tr>
      <w:tr w:rsidR="00B97BF5" w:rsidRPr="00FB6C05" w:rsidTr="0014578E">
        <w:trPr>
          <w:gridAfter w:val="1"/>
          <w:wAfter w:w="1536" w:type="dxa"/>
          <w:trHeight w:val="11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6C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BF5" w:rsidRPr="00FB6C0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83C7E">
              <w:rPr>
                <w:rFonts w:ascii="Arial" w:hAnsi="Arial" w:cs="Arial"/>
                <w:color w:val="000000"/>
              </w:rPr>
              <w:t xml:space="preserve">Allow for Preliminary and General including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83C7E">
              <w:rPr>
                <w:rFonts w:ascii="Arial" w:hAnsi="Arial" w:cs="Arial"/>
                <w:color w:val="000000"/>
              </w:rPr>
              <w:t xml:space="preserve">ite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83C7E">
              <w:rPr>
                <w:rFonts w:ascii="Arial" w:hAnsi="Arial" w:cs="Arial"/>
                <w:color w:val="000000"/>
              </w:rPr>
              <w:t>obilization</w:t>
            </w:r>
            <w:r>
              <w:rPr>
                <w:rFonts w:ascii="Arial" w:hAnsi="Arial" w:cs="Arial"/>
                <w:color w:val="000000"/>
              </w:rPr>
              <w:t xml:space="preserve"> and D</w:t>
            </w:r>
            <w:r w:rsidRPr="00783C7E">
              <w:rPr>
                <w:rFonts w:ascii="Arial" w:hAnsi="Arial" w:cs="Arial"/>
                <w:color w:val="000000"/>
              </w:rPr>
              <w:t>emobilization</w:t>
            </w:r>
            <w:r>
              <w:rPr>
                <w:rFonts w:ascii="Arial" w:hAnsi="Arial" w:cs="Arial"/>
                <w:color w:val="000000"/>
              </w:rPr>
              <w:t>, all Overheads and</w:t>
            </w:r>
            <w:r w:rsidRPr="00783C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required Insurances</w:t>
            </w:r>
            <w:r w:rsidRPr="00783C7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6C05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  <w:r w:rsidRPr="00FB6C05">
              <w:rPr>
                <w:rFonts w:ascii="Arial" w:hAnsi="Arial" w:cs="Arial"/>
                <w:color w:val="000000"/>
              </w:rPr>
              <w:t> </w:t>
            </w:r>
          </w:p>
        </w:tc>
      </w:tr>
      <w:bookmarkEnd w:id="0"/>
      <w:tr w:rsidR="00B97BF5" w:rsidRPr="00FB6C05" w:rsidTr="0014578E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FB6C0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 to relocate existing chain link fence to a temporary location away from the base of the embankment.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57lm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trHeight w:val="1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 to supply missing chain link fence to existing temporary location and to also reinstate to its final location on completion of all works.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25lm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B97BF5" w:rsidRPr="00FB6C05" w:rsidRDefault="00B97BF5" w:rsidP="0014578E"/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83C7E">
              <w:rPr>
                <w:rFonts w:ascii="Arial" w:hAnsi="Arial" w:cs="Arial"/>
                <w:color w:val="000000"/>
              </w:rPr>
              <w:t xml:space="preserve">Allow to </w:t>
            </w:r>
            <w:r>
              <w:rPr>
                <w:rFonts w:ascii="Arial" w:hAnsi="Arial" w:cs="Arial"/>
                <w:color w:val="000000"/>
              </w:rPr>
              <w:t>remove all the existing Gabions from the base of the existing embankment for re-use</w:t>
            </w:r>
            <w:r w:rsidR="005922C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14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783C7E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Allow to fabricate and supply 80 x 6.7m </w:t>
            </w:r>
            <w:r w:rsidR="005922C5">
              <w:rPr>
                <w:rFonts w:ascii="Arial" w:hAnsi="Arial" w:cs="Arial"/>
                <w:color w:val="000000"/>
              </w:rPr>
              <w:t>meter</w:t>
            </w:r>
            <w:r>
              <w:rPr>
                <w:rFonts w:ascii="Arial" w:hAnsi="Arial" w:cs="Arial"/>
                <w:color w:val="000000"/>
              </w:rPr>
              <w:t xml:space="preserve"> long HDG Soil Anchors to the site. Each Soil Anchor is composed of two segments that will be connected on site.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B97BF5">
        <w:trPr>
          <w:gridAfter w:val="1"/>
          <w:wAfter w:w="1536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FB6C0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 to install 75 Soil Anchors into the embankment as specified in the drawings.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405E01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77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783C7E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Allow to load test 20% of the Soil Anchors to 100KN safe load to anchors nominated on site.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783C7E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Supply and install Panel Drains at 2m </w:t>
            </w:r>
            <w:r w:rsidR="005922C5">
              <w:rPr>
                <w:rFonts w:ascii="Arial" w:hAnsi="Arial" w:cs="Arial"/>
                <w:color w:val="000000"/>
              </w:rPr>
              <w:t>centers</w:t>
            </w:r>
            <w:r>
              <w:rPr>
                <w:rFonts w:ascii="Arial" w:hAnsi="Arial" w:cs="Arial"/>
                <w:color w:val="000000"/>
              </w:rPr>
              <w:t xml:space="preserve"> using J pins into the embankment, complete with 30</w:t>
            </w:r>
            <w:r w:rsidRPr="00E364DC">
              <w:rPr>
                <w:rFonts w:ascii="Arial" w:hAnsi="Arial" w:cs="Arial"/>
                <w:color w:val="000000"/>
                <w:sz w:val="28"/>
                <w:szCs w:val="28"/>
              </w:rPr>
              <w:t>ø</w:t>
            </w:r>
            <w:r>
              <w:rPr>
                <w:rFonts w:ascii="Arial" w:hAnsi="Arial" w:cs="Arial"/>
                <w:color w:val="000000"/>
              </w:rPr>
              <w:t xml:space="preserve"> steel drainage pipes.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 (lm)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610F5">
              <w:rPr>
                <w:rFonts w:ascii="Arial" w:hAnsi="Arial" w:cs="Arial"/>
                <w:color w:val="000000"/>
              </w:rPr>
              <w:t>($/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6610F5">
              <w:rPr>
                <w:rFonts w:ascii="Arial" w:hAnsi="Arial" w:cs="Arial"/>
                <w:color w:val="000000"/>
              </w:rPr>
              <w:t>m)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Pr="00FB6C0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783C7E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212AFC">
              <w:rPr>
                <w:rFonts w:ascii="Arial" w:hAnsi="Arial" w:cs="Arial"/>
                <w:color w:val="000000"/>
              </w:rPr>
              <w:t xml:space="preserve">Allow to </w:t>
            </w:r>
            <w:r>
              <w:rPr>
                <w:rFonts w:ascii="Arial" w:hAnsi="Arial" w:cs="Arial"/>
                <w:color w:val="000000"/>
              </w:rPr>
              <w:t xml:space="preserve">lay 46 x1mx1mx1m existing Gabions along the base of the embankment.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212AFC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Allow to supply and lay 15 x 2mx1mx1m new PVC Coated Gabions along the base of the embankment.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212AFC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Supply and fix the black 445 steel mesh reinforcement over the face of the embankment using J pins. Allow to bolt and fasten the mesh between the two HDG plates at the end of the Soil Anchors.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1155 </w:t>
            </w:r>
            <w:r w:rsidRPr="006610F5">
              <w:rPr>
                <w:rFonts w:ascii="Arial" w:hAnsi="Arial" w:cs="Arial"/>
                <w:color w:val="000000"/>
              </w:rPr>
              <w:t>(m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610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6610F5">
              <w:rPr>
                <w:rFonts w:ascii="Arial" w:hAnsi="Arial" w:cs="Arial"/>
                <w:color w:val="000000"/>
              </w:rPr>
              <w:t>($/m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610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Allow to supply Shotcrete as specified to the whole face of the embankment.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 (</w:t>
            </w:r>
            <w:r w:rsidRPr="006610F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E064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($/m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Allow to form Spoon Drains at both the top of the embankment and in front of the Gabions as shown in the drawings. </w:t>
            </w:r>
          </w:p>
          <w:p w:rsidR="00B97BF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 (l</w:t>
            </w:r>
            <w:r w:rsidRPr="006610F5">
              <w:rPr>
                <w:rFonts w:ascii="Arial" w:hAnsi="Arial" w:cs="Arial"/>
                <w:color w:val="000000"/>
              </w:rPr>
              <w:t>m</w:t>
            </w:r>
            <w:r w:rsidRPr="00E064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Pr="006610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($/lm)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B97BF5">
        <w:trPr>
          <w:gridAfter w:val="1"/>
          <w:wAfter w:w="1536" w:type="dxa"/>
          <w:trHeight w:val="14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 to remove precast concrete covers from existing concrete trench and remove all silt and dirt from around the existing drains and reinstate the concrete covers.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82(lm)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 to supply and spread new 100mm thick AP40 to existing Switchyard site.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200m²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14578E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Pr="00B97BF5" w:rsidRDefault="00B97BF5" w:rsidP="00B97BF5">
            <w:pPr>
              <w:pStyle w:val="NoSpacing"/>
              <w:rPr>
                <w:rFonts w:ascii="Arial" w:hAnsi="Arial" w:cs="Arial"/>
              </w:rPr>
            </w:pPr>
            <w:r w:rsidRPr="00B97BF5">
              <w:rPr>
                <w:rFonts w:ascii="Arial" w:hAnsi="Arial" w:cs="Arial"/>
              </w:rPr>
              <w:t>Remove Soil From the Existing</w:t>
            </w:r>
          </w:p>
          <w:p w:rsidR="00B97BF5" w:rsidRPr="00B97BF5" w:rsidRDefault="005922C5" w:rsidP="005922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Cable Trench.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B97BF5">
        <w:trPr>
          <w:gridAfter w:val="1"/>
          <w:wAfter w:w="1536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5" w:rsidRDefault="00B97BF5" w:rsidP="0014578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C5" w:rsidRDefault="005922C5" w:rsidP="00B97BF5">
            <w:pPr>
              <w:pStyle w:val="NoSpacing"/>
              <w:rPr>
                <w:rFonts w:ascii="Arial" w:hAnsi="Arial" w:cs="Arial"/>
              </w:rPr>
            </w:pPr>
          </w:p>
          <w:p w:rsidR="00B97BF5" w:rsidRPr="00B97BF5" w:rsidRDefault="00B97BF5" w:rsidP="00B97BF5">
            <w:pPr>
              <w:pStyle w:val="NoSpacing"/>
              <w:rPr>
                <w:rFonts w:ascii="Arial" w:hAnsi="Arial" w:cs="Arial"/>
              </w:rPr>
            </w:pPr>
            <w:r w:rsidRPr="00B97BF5">
              <w:rPr>
                <w:rFonts w:ascii="Arial" w:hAnsi="Arial" w:cs="Arial"/>
              </w:rPr>
              <w:t>Repair the Existing Fence line.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5" w:rsidRDefault="00B97BF5" w:rsidP="0014578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</w:p>
        </w:tc>
      </w:tr>
      <w:tr w:rsidR="00B97BF5" w:rsidRPr="00FB6C05" w:rsidTr="00B97BF5">
        <w:trPr>
          <w:gridAfter w:val="1"/>
          <w:wAfter w:w="1536" w:type="dxa"/>
          <w:trHeight w:val="132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BF5" w:rsidRPr="00B97BF5" w:rsidRDefault="00B97BF5" w:rsidP="00B97B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BF5">
              <w:rPr>
                <w:rFonts w:ascii="Arial" w:hAnsi="Arial" w:cs="Arial"/>
                <w:b/>
                <w:bCs/>
                <w:color w:val="000000"/>
              </w:rPr>
              <w:t>TOTAL VIP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BF5" w:rsidRPr="00FB6C05" w:rsidRDefault="00B97BF5" w:rsidP="0014578E">
            <w:pPr>
              <w:rPr>
                <w:rFonts w:ascii="Arial" w:hAnsi="Arial" w:cs="Arial"/>
                <w:color w:val="000000"/>
              </w:rPr>
            </w:pPr>
            <w:r w:rsidRPr="00FB6C0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F1482" w:rsidRDefault="00EF1482" w:rsidP="00B97BF5">
      <w:pPr>
        <w:jc w:val="right"/>
      </w:pPr>
      <w:r>
        <w:t xml:space="preserve"> </w:t>
      </w:r>
    </w:p>
    <w:p w:rsidR="00B97BF5" w:rsidRPr="005922C5" w:rsidRDefault="00B97BF5" w:rsidP="00B97BF5">
      <w:pPr>
        <w:rPr>
          <w:b/>
          <w:sz w:val="28"/>
          <w:szCs w:val="28"/>
        </w:rPr>
      </w:pPr>
      <w:r w:rsidRPr="005922C5">
        <w:rPr>
          <w:b/>
          <w:sz w:val="28"/>
          <w:szCs w:val="28"/>
        </w:rPr>
        <w:t xml:space="preserve">Note: </w:t>
      </w:r>
    </w:p>
    <w:p w:rsidR="00B97BF5" w:rsidRDefault="00B97BF5" w:rsidP="00B97BF5">
      <w:pPr>
        <w:pStyle w:val="ListParagraph"/>
        <w:numPr>
          <w:ilvl w:val="0"/>
          <w:numId w:val="3"/>
        </w:numPr>
      </w:pPr>
      <w:r>
        <w:t>Contractors are to arrange for their own power supply</w:t>
      </w:r>
      <w:r w:rsidR="005922C5">
        <w:t xml:space="preserve"> &amp; water</w:t>
      </w:r>
      <w:r>
        <w:t xml:space="preserve"> on the Site.</w:t>
      </w:r>
    </w:p>
    <w:p w:rsidR="00B97BF5" w:rsidRDefault="00B97BF5" w:rsidP="00B97BF5">
      <w:pPr>
        <w:pStyle w:val="ListParagraph"/>
        <w:numPr>
          <w:ilvl w:val="0"/>
          <w:numId w:val="3"/>
        </w:numPr>
      </w:pPr>
      <w:r>
        <w:t xml:space="preserve">It’s the responsibility of the contractor to remove the two existing </w:t>
      </w:r>
      <w:r w:rsidR="005922C5">
        <w:t>light pole (to allow movement of heavy machinery) and replace a</w:t>
      </w:r>
      <w:bookmarkStart w:id="1" w:name="_GoBack"/>
      <w:bookmarkEnd w:id="1"/>
      <w:r w:rsidR="005922C5">
        <w:t>t its original location as before.</w:t>
      </w:r>
    </w:p>
    <w:sectPr w:rsidR="00B9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284"/>
    <w:multiLevelType w:val="hybridMultilevel"/>
    <w:tmpl w:val="8442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65D8"/>
    <w:multiLevelType w:val="hybridMultilevel"/>
    <w:tmpl w:val="D9D8B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8A3"/>
    <w:multiLevelType w:val="hybridMultilevel"/>
    <w:tmpl w:val="93E08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5"/>
    <w:rsid w:val="00043B51"/>
    <w:rsid w:val="002A2005"/>
    <w:rsid w:val="003C4B4F"/>
    <w:rsid w:val="004A0A67"/>
    <w:rsid w:val="005922C5"/>
    <w:rsid w:val="005A379C"/>
    <w:rsid w:val="006F2F8C"/>
    <w:rsid w:val="00737C4E"/>
    <w:rsid w:val="007634E3"/>
    <w:rsid w:val="008F276D"/>
    <w:rsid w:val="00A33C34"/>
    <w:rsid w:val="00A624D5"/>
    <w:rsid w:val="00B97BF5"/>
    <w:rsid w:val="00C70CB4"/>
    <w:rsid w:val="00EA06D1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2C69-75B6-4642-8A88-118E4D2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2005"/>
    <w:pPr>
      <w:ind w:left="720"/>
      <w:contextualSpacing/>
    </w:pPr>
  </w:style>
  <w:style w:type="table" w:styleId="TableGrid">
    <w:name w:val="Table Grid"/>
    <w:basedOn w:val="TableNormal"/>
    <w:uiPriority w:val="59"/>
    <w:rsid w:val="00EA06D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Shavneel Deo</dc:creator>
  <cp:keywords/>
  <dc:description/>
  <cp:lastModifiedBy>Abdul Nasim</cp:lastModifiedBy>
  <cp:revision>7</cp:revision>
  <dcterms:created xsi:type="dcterms:W3CDTF">2019-11-26T03:38:00Z</dcterms:created>
  <dcterms:modified xsi:type="dcterms:W3CDTF">2020-01-20T03:54:00Z</dcterms:modified>
</cp:coreProperties>
</file>